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ПОЛОЖЕНИЕ О ПРОВЕДЕНИИ ПЕРВОГО ЭТАПА КОНКУРСА НАУЧНО-ИССЛЕДОВАТЕЛЬСКИХ РАБОТ СТУДЕНТОВ И АСПИРАНТОВ</w:t>
        <w:br/>
        <w:t>САМАРСКОГО УНИВЕРСИТЕТА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Настоящее положение определяет условия и порядок проведения первого этапа конкурса научно-исследовательских   работ   студентов   и   аспирантов российских образовательных организаций высшего образования и/или научных организаций на базе Самарского университета (далее - Конкурс). </w:t>
      </w:r>
    </w:p>
    <w:p>
      <w:pPr>
        <w:pStyle w:val="Normal"/>
        <w:widowControl/>
        <w:shd w:val="clear" w:fill="auto"/>
        <w:spacing w:lineRule="auto" w:line="218" w:before="0" w:after="0"/>
        <w:ind w:left="0" w:right="-285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br/>
        <w:tab/>
        <w:t>Под  научно-исследовательской  работой  понимается письменная  работа, в которой  приводится  описание  выполненного  научного  исследования  и полученных результатов. Конкурс  организуется  по  инициативе  Министерства науки  и  высшего образования Российской Федерации. Основной  целью  Конкурса  является поддержка  российской  научно-одаренной  молодежи,  привлечение  молодежи  к  поиску  ответов  на  решение глобальных научных проблем, расширение представлений молодежи о науке как о важном  ресурсе  российского  общества,  укрепление  образовательных  и  научных связей между поколениями ученых в рамках отдельных научных направлений и междисциплинарного сотрудничества.</w:t>
        <w:br/>
        <w:tab/>
        <w:t>В связи с распространением новой коронавирусной инфекции на территории Российской Федерации настоящий конкурс проводится в дистанционном формате.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ПЕРЕЧЕНЬ ОБЛАСТЕЙ НАУК,ПО КОТОРЫМ ПРОВОДИТСЯ КОНКУРС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firstLine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Конкурс проводится по следующим научным областям: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Агро-, био- и продовольственные технологии</w:t>
        <w:br/>
        <w:t>2. Гуманитарные науки</w:t>
        <w:br/>
        <w:t>3. Цифровая экономика и информационные технологии</w:t>
        <w:br/>
        <w:t>4. Математика и механика</w:t>
        <w:br/>
        <w:t>5. Машиностроение и энергетика</w:t>
        <w:br/>
        <w:t>6. Науки о жизни и медицина</w:t>
        <w:br/>
        <w:t>7. Науки о Земле, экология и рациональное природопользование</w:t>
        <w:br/>
        <w:t>8. Новые материалы и способы конструирования</w:t>
        <w:br/>
        <w:t>9. Социальные науки</w:t>
        <w:br/>
        <w:t>10. Физика и астрономия</w:t>
        <w:br/>
        <w:t>11. Химия и химические технологии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ТРЕБОВАНИЯ К УЧАСТНИКАМ КОНКУРСА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Участниками  конкурса  могут  быть  студенты и  аспиранты Самарского университета не старше 32 лет. Для участия  в  конкурсе  студенты  и  аспиранты  представляют  научно-исследовательские  работы,  подготовленные  индивидуально  или  в  соавторстве  с другими  студентами  и  аспирантами  (при  подготовке  работы  на  условиях соавторства объем работы студента или аспиранта, представившего данную работу для участия в конкурсе, должен составлять не менее половины от общего объема работы). Организационный взнос для участников конкурса не предусмотрен. 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firstLine="72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участия в конкурсе обучающиеся Самарского университета готовят заявку (Приложение 1) и конкурсную работу (Приложение 2).</w:t>
      </w:r>
    </w:p>
    <w:p>
      <w:pPr>
        <w:pStyle w:val="Normal"/>
        <w:spacing w:lineRule="auto" w:line="218" w:before="0" w:after="0"/>
        <w:ind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18" w:before="0" w:after="0"/>
        <w:ind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СРОКИ ПРОВЕДЕНИЯ КОНКУРСА</w:t>
      </w:r>
    </w:p>
    <w:p>
      <w:pPr>
        <w:pStyle w:val="Normal"/>
        <w:spacing w:lineRule="auto" w:line="218" w:before="0" w:after="0"/>
        <w:ind w:right="-285"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27.04.2020-20.05.2020</w:t>
        <w:br/>
      </w:r>
      <w:r>
        <w:rPr>
          <w:rFonts w:eastAsia="Times New Roman" w:cs="Times New Roman" w:ascii="Times New Roman" w:hAnsi="Times New Roman"/>
          <w:sz w:val="24"/>
          <w:szCs w:val="24"/>
        </w:rPr>
        <w:tab/>
        <w:t>Объявление о Конкурсе размещается на сайте Самарского университет. Сбор заявок и научно-исследовательских работ участников.</w:t>
        <w:br/>
        <w:tab/>
        <w:t xml:space="preserve">Заявки и конкурсные работы, выполненные в соответствиями с требованиями, указанными в настоящем положении, направляются помощнику проректора Верховской Татьяне Владимировне на электронную почту </w:t>
      </w:r>
      <w:hyperlink r:id="rId2">
        <w:r>
          <w:rPr>
            <w:rStyle w:val="ListLabel11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nirs@ssau.ru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. Телефон для справок: 267-43-14. </w:t>
      </w:r>
    </w:p>
    <w:p>
      <w:pPr>
        <w:pStyle w:val="Normal"/>
        <w:spacing w:lineRule="auto" w:line="218" w:before="0" w:after="0"/>
        <w:ind w:right="-285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20.05.2020-26.05.2020</w:t>
      </w:r>
      <w:r>
        <w:rPr>
          <w:rFonts w:eastAsia="Times New Roman" w:cs="Times New Roman" w:ascii="Times New Roman" w:hAnsi="Times New Roman"/>
          <w:b/>
          <w:sz w:val="24"/>
          <w:szCs w:val="24"/>
        </w:rPr>
        <w:br/>
        <w:tab/>
      </w:r>
      <w:r>
        <w:rPr>
          <w:rFonts w:eastAsia="Times New Roman" w:cs="Times New Roman" w:ascii="Times New Roman" w:hAnsi="Times New Roman"/>
          <w:sz w:val="24"/>
          <w:szCs w:val="24"/>
        </w:rPr>
        <w:t>Оценивание научно-исследовательских работ участников. Конкурсные работы оцениваются в соответствии с критериями, указанными в настоящем положении.</w:t>
      </w:r>
    </w:p>
    <w:p>
      <w:pPr>
        <w:pStyle w:val="Normal"/>
        <w:spacing w:lineRule="auto" w:line="218" w:before="0" w:after="0"/>
        <w:ind w:right="-285" w:firstLine="72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27.05.2020</w:t>
      </w:r>
      <w:r>
        <w:rPr>
          <w:rFonts w:eastAsia="Times New Roman" w:cs="Times New Roman" w:ascii="Times New Roman" w:hAnsi="Times New Roman"/>
          <w:b/>
          <w:sz w:val="24"/>
          <w:szCs w:val="24"/>
        </w:rPr>
        <w:br/>
        <w:tab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Объявление о результатах Конкурса размещается на сайте Самарского университета. </w:t>
        <w:br/>
        <w:tab/>
        <w:t xml:space="preserve">Для участия во втором этапе Всероссийского конкурса научно-исследовательских работ студентов и аспирантов победители конкурса в срок до 1 июня 2020 года обязаны пройти регистрацию на специализированном сайте в сети Интернет по адресу </w:t>
      </w:r>
      <w:hyperlink r:id="rId3">
        <w:r>
          <w:rPr>
            <w:rStyle w:val="ListLabel11"/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http://sfy-conf.ru/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и заполнить заявку на участие в конкурсе НИР.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КРИТЕРИИ ОТБОРА НАУЧНО-ИССЛЕДОВАТЕЛЬСКИХ РАБОТ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firstLine="72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Тематика представленных проектов должна способствовать формированию ответов на большие вызовы для общества, государства и науки, сформулированные в  Стратегии  научно-технологического  развития  Российской  Федерации, утвержденной указом Президента Российской федерации от 1 декабря 2016 года № 642 (далее – Стратегия НТР). Критериями отбора научно-исследовательских работ являются:</w:t>
        <w:br/>
        <w:tab/>
        <w:t>а) актуальность  научного  исследования,  способов и  методов решения поставленных задач;</w:t>
        <w:br/>
        <w:tab/>
        <w:t>б) соответствие  полученных  результатов  целям  и  задачам научного исследования;</w:t>
        <w:br/>
        <w:tab/>
        <w:t>в) научная новизна и степень решения поставленных задач;</w:t>
        <w:br/>
        <w:tab/>
        <w:t>г) качество  изложения  материала  и  оформления  работы  (включение рисунков,  фотографий  и  т.п.,  отображающих  ход  научного  исследования  и улучшающих восприятие изложенного материала);</w:t>
        <w:br/>
        <w:tab/>
        <w:t xml:space="preserve">д) практическая применимость полученных результатов </w:t>
      </w:r>
    </w:p>
    <w:p>
      <w:pPr>
        <w:pStyle w:val="Normal"/>
        <w:spacing w:lineRule="auto" w:line="218" w:before="0" w:after="0"/>
        <w:ind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18" w:before="0" w:after="0"/>
        <w:ind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ПОРЯДОК ЭКСПЕРТИЗЫ ПРОЕКТОВ, ПОДАННЫХ НА КОНКУРС</w:t>
      </w:r>
    </w:p>
    <w:p>
      <w:pPr>
        <w:pStyle w:val="Normal"/>
        <w:spacing w:lineRule="auto" w:line="218" w:before="0" w:after="0"/>
        <w:ind w:right="-285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Экспертиза проектов, поданных на конкурс, предусматривает два этапа: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1 этап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проверка заявок от участников на предмет комплектности и соответствия требованиям настоящего Положения – предварительная экспертиза;</w:t>
        <w:br/>
        <w:t>В случае установления недостоверности сведений, содержащихся в документах, представленных в составе заявки, участник отстраняется от участия в конкурсе на любом этапе его проведения.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2 этап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научная экспертиза, предназначенная для оценки научно- исследовательских работ.</w:t>
      </w:r>
    </w:p>
    <w:p>
      <w:pPr>
        <w:pStyle w:val="Normal"/>
        <w:spacing w:lineRule="auto" w:line="218" w:before="0" w:after="0"/>
        <w:ind w:right="-285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Для проведения научной экспертизы определены следующие критерии:</w:t>
        <w:br/>
        <w:t>- актуальность научного исследования;</w:t>
      </w:r>
    </w:p>
    <w:p>
      <w:pPr>
        <w:pStyle w:val="Normal"/>
        <w:spacing w:lineRule="auto" w:line="218" w:before="0" w:after="0"/>
        <w:ind w:right="-285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четкость в характеристике объекта, предмета и методов исследования, наличие обоснования поставленных целей и задач;</w:t>
      </w:r>
    </w:p>
    <w:p>
      <w:pPr>
        <w:pStyle w:val="Normal"/>
        <w:spacing w:lineRule="auto" w:line="218" w:before="0" w:after="0"/>
        <w:ind w:right="-285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научная новизна проекта;</w:t>
      </w:r>
    </w:p>
    <w:p>
      <w:pPr>
        <w:pStyle w:val="Normal"/>
        <w:spacing w:lineRule="auto" w:line="218" w:before="0" w:after="0"/>
        <w:ind w:right="-285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последовательность и ясность изложения материала, стиль и грамматический уровень работы;</w:t>
      </w:r>
    </w:p>
    <w:p>
      <w:pPr>
        <w:pStyle w:val="Normal"/>
        <w:spacing w:lineRule="auto" w:line="218" w:before="0" w:after="0"/>
        <w:ind w:right="-285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- творческий характер работы, самостоятельность подхода к исследованию.</w:t>
      </w:r>
    </w:p>
    <w:p>
      <w:pPr>
        <w:pStyle w:val="Normal"/>
        <w:spacing w:lineRule="auto" w:line="218" w:before="0" w:after="0"/>
        <w:ind w:right="-285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18" w:before="0" w:after="0"/>
        <w:ind w:right="-285" w:firstLine="72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Состав привлеченных экспертов является закрытым и не разглашается. Содержание экспертных заключений является конфиденциальной информацией. Решение экспертов конкурса не может быть оспорено участниками конкурса. По результатам научной экспертизы на основании полученной суммы баллов составляется рейтинговый список участников.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АВТОРСКИЕ ПРАВА</w:t>
      </w:r>
    </w:p>
    <w:p>
      <w:pPr>
        <w:pStyle w:val="Normal"/>
        <w:keepNext w:val="false"/>
        <w:keepLines w:val="false"/>
        <w:widowControl/>
        <w:shd w:val="clear" w:fill="auto"/>
        <w:spacing w:lineRule="auto" w:line="218" w:before="0" w:after="0"/>
        <w:ind w:left="0" w:right="-285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0" w:top="1134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kern w:val="0"/>
      <w:sz w:val="48"/>
      <w:szCs w:val="48"/>
      <w:lang w:val="ru-RU" w:eastAsia="zh-CN" w:bidi="hi-IN"/>
    </w:rPr>
  </w:style>
  <w:style w:type="paragraph" w:styleId="Heading2">
    <w:name w:val="Heading 2"/>
    <w:next w:val="Normal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kern w:val="0"/>
      <w:sz w:val="36"/>
      <w:szCs w:val="36"/>
      <w:lang w:val="ru-RU" w:eastAsia="zh-CN" w:bidi="hi-IN"/>
    </w:rPr>
  </w:style>
  <w:style w:type="paragraph" w:styleId="Heading3">
    <w:name w:val="Heading 3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kern w:val="0"/>
      <w:sz w:val="28"/>
      <w:szCs w:val="28"/>
      <w:lang w:val="ru-RU" w:eastAsia="zh-CN" w:bidi="hi-IN"/>
    </w:rPr>
  </w:style>
  <w:style w:type="paragraph" w:styleId="Heading4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kern w:val="0"/>
      <w:sz w:val="24"/>
      <w:szCs w:val="24"/>
      <w:lang w:val="ru-RU" w:eastAsia="zh-CN" w:bidi="hi-IN"/>
    </w:rPr>
  </w:style>
  <w:style w:type="paragraph" w:styleId="Heading5">
    <w:name w:val="Heading 5"/>
    <w:next w:val="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kern w:val="0"/>
      <w:sz w:val="22"/>
      <w:szCs w:val="22"/>
      <w:lang w:val="ru-RU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kern w:val="0"/>
      <w:sz w:val="20"/>
      <w:szCs w:val="20"/>
      <w:lang w:val="ru-RU" w:eastAsia="zh-CN" w:bidi="hi-IN"/>
    </w:rPr>
  </w:style>
  <w:style w:type="character" w:styleId="ListLabel1">
    <w:name w:val="ListLabel 1"/>
    <w:qFormat/>
    <w:rPr>
      <w:rFonts w:ascii="Times New Roman" w:hAnsi="Times New Roman"/>
      <w:b w:val="false"/>
      <w:position w:val="0"/>
      <w:sz w:val="26"/>
      <w:sz w:val="26"/>
      <w:vertAlign w:val="baseline"/>
    </w:rPr>
  </w:style>
  <w:style w:type="character" w:styleId="ListLabel2">
    <w:name w:val="ListLabel 2"/>
    <w:qFormat/>
    <w:rPr>
      <w:position w:val="0"/>
      <w:sz w:val="20"/>
      <w:sz w:val="20"/>
      <w:vertAlign w:val="baseline"/>
    </w:rPr>
  </w:style>
  <w:style w:type="character" w:styleId="ListLabel3">
    <w:name w:val="ListLabel 3"/>
    <w:qFormat/>
    <w:rPr>
      <w:position w:val="0"/>
      <w:sz w:val="20"/>
      <w:sz w:val="20"/>
      <w:vertAlign w:val="baseline"/>
    </w:rPr>
  </w:style>
  <w:style w:type="character" w:styleId="ListLabel4">
    <w:name w:val="ListLabel 4"/>
    <w:qFormat/>
    <w:rPr>
      <w:position w:val="0"/>
      <w:sz w:val="20"/>
      <w:sz w:val="20"/>
      <w:vertAlign w:val="baseline"/>
    </w:rPr>
  </w:style>
  <w:style w:type="character" w:styleId="ListLabel5">
    <w:name w:val="ListLabel 5"/>
    <w:qFormat/>
    <w:rPr>
      <w:position w:val="0"/>
      <w:sz w:val="20"/>
      <w:sz w:val="20"/>
      <w:vertAlign w:val="baseline"/>
    </w:rPr>
  </w:style>
  <w:style w:type="character" w:styleId="ListLabel6">
    <w:name w:val="ListLabel 6"/>
    <w:qFormat/>
    <w:rPr>
      <w:position w:val="0"/>
      <w:sz w:val="20"/>
      <w:sz w:val="20"/>
      <w:vertAlign w:val="baseline"/>
    </w:rPr>
  </w:style>
  <w:style w:type="character" w:styleId="ListLabel7">
    <w:name w:val="ListLabel 7"/>
    <w:qFormat/>
    <w:rPr>
      <w:position w:val="0"/>
      <w:sz w:val="20"/>
      <w:sz w:val="20"/>
      <w:vertAlign w:val="baseline"/>
    </w:rPr>
  </w:style>
  <w:style w:type="character" w:styleId="ListLabel8">
    <w:name w:val="ListLabel 8"/>
    <w:qFormat/>
    <w:rPr>
      <w:position w:val="0"/>
      <w:sz w:val="20"/>
      <w:sz w:val="20"/>
      <w:vertAlign w:val="baseline"/>
    </w:rPr>
  </w:style>
  <w:style w:type="character" w:styleId="ListLabel9">
    <w:name w:val="ListLabel 9"/>
    <w:qFormat/>
    <w:rPr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color w:val="1155CC"/>
      <w:sz w:val="26"/>
      <w:szCs w:val="26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1155CC"/>
      <w:sz w:val="24"/>
      <w:szCs w:val="24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12">
    <w:name w:val="ListLabel 12"/>
    <w:qFormat/>
    <w:rPr>
      <w:rFonts w:ascii="Times New Roman" w:hAnsi="Times New Roman" w:eastAsia="Times New Roman" w:cs="Times New Roman"/>
      <w:color w:val="1155CC"/>
      <w:sz w:val="24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note">
    <w:name w:val="Footnote Text"/>
    <w:basedOn w:val="Normal"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irs@ssau.ru" TargetMode="External"/><Relationship Id="rId3" Type="http://schemas.openxmlformats.org/officeDocument/2006/relationships/hyperlink" Target="http://sfy-conf.ru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665</Words>
  <Characters>4974</Characters>
  <CharactersWithSpaces>5737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2020-05-02T17:30:04Z</dcterms:modified>
  <cp:revision>2</cp:revision>
  <dc:subject/>
  <dc:title/>
</cp:coreProperties>
</file>